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993" w:rsidRDefault="00EA3993" w:rsidP="00EA3993">
      <w:pPr>
        <w:widowControl w:val="0"/>
        <w:autoSpaceDE w:val="0"/>
        <w:autoSpaceDN w:val="0"/>
        <w:adjustRightInd w:val="0"/>
        <w:ind w:right="-290"/>
        <w:jc w:val="both"/>
        <w:rPr>
          <w:rFonts w:asciiTheme="majorHAnsi" w:hAnsiTheme="majorHAnsi" w:cs="Arial"/>
          <w:b/>
          <w:bCs/>
          <w:color w:val="000000" w:themeColor="text1"/>
          <w:szCs w:val="34"/>
          <w:lang w:val="en-GB"/>
        </w:rPr>
      </w:pPr>
      <w:r w:rsidRPr="00EA3993">
        <w:rPr>
          <w:rFonts w:asciiTheme="majorHAnsi" w:hAnsiTheme="majorHAnsi" w:cs="Arial"/>
          <w:b/>
          <w:bCs/>
          <w:color w:val="000000" w:themeColor="text1"/>
          <w:szCs w:val="34"/>
          <w:lang w:val="en-GB"/>
        </w:rPr>
        <w:t>Results of the Conference</w:t>
      </w:r>
    </w:p>
    <w:p w:rsidR="00EA3993" w:rsidRPr="00EA3993" w:rsidRDefault="00EA3993" w:rsidP="00EA3993">
      <w:pPr>
        <w:widowControl w:val="0"/>
        <w:autoSpaceDE w:val="0"/>
        <w:autoSpaceDN w:val="0"/>
        <w:adjustRightInd w:val="0"/>
        <w:ind w:right="-290"/>
        <w:jc w:val="both"/>
        <w:rPr>
          <w:rFonts w:asciiTheme="majorHAnsi" w:hAnsiTheme="majorHAnsi" w:cs="Arial"/>
          <w:b/>
          <w:bCs/>
          <w:color w:val="000000" w:themeColor="text1"/>
          <w:szCs w:val="34"/>
          <w:lang w:val="en-GB"/>
        </w:rPr>
      </w:pPr>
    </w:p>
    <w:p w:rsidR="00EA3993" w:rsidRPr="00EA3993" w:rsidRDefault="00EA3993" w:rsidP="00EA3993">
      <w:pPr>
        <w:widowControl w:val="0"/>
        <w:autoSpaceDE w:val="0"/>
        <w:autoSpaceDN w:val="0"/>
        <w:adjustRightInd w:val="0"/>
        <w:ind w:right="-290"/>
        <w:jc w:val="center"/>
        <w:rPr>
          <w:rFonts w:asciiTheme="majorHAnsi" w:hAnsiTheme="majorHAnsi" w:cs="Arial"/>
          <w:b/>
          <w:bCs/>
          <w:i/>
          <w:color w:val="1C275F"/>
          <w:sz w:val="40"/>
          <w:szCs w:val="34"/>
          <w:lang w:val="en-GB"/>
        </w:rPr>
      </w:pPr>
      <w:r w:rsidRPr="00EA3993">
        <w:rPr>
          <w:rFonts w:asciiTheme="majorHAnsi" w:hAnsiTheme="majorHAnsi" w:cs="Arial"/>
          <w:b/>
          <w:bCs/>
          <w:i/>
          <w:color w:val="1C275F"/>
          <w:sz w:val="40"/>
          <w:szCs w:val="34"/>
          <w:lang w:val="en-GB"/>
        </w:rPr>
        <w:t>Energy Renovation of Traditional B</w:t>
      </w:r>
      <w:r w:rsidRPr="00EA3993">
        <w:rPr>
          <w:rFonts w:asciiTheme="majorHAnsi" w:hAnsiTheme="majorHAnsi" w:cs="Arial"/>
          <w:b/>
          <w:bCs/>
          <w:i/>
          <w:color w:val="1C275F"/>
          <w:sz w:val="40"/>
          <w:szCs w:val="34"/>
          <w:lang w:val="en-GB"/>
        </w:rPr>
        <w:t xml:space="preserve">uildings </w:t>
      </w:r>
      <w:r w:rsidRPr="00EA3993">
        <w:rPr>
          <w:rFonts w:asciiTheme="majorHAnsi" w:hAnsiTheme="majorHAnsi" w:cs="Arial"/>
          <w:b/>
          <w:bCs/>
          <w:i/>
          <w:color w:val="1C275F"/>
          <w:sz w:val="40"/>
          <w:szCs w:val="34"/>
          <w:lang w:val="en-GB"/>
        </w:rPr>
        <w:t>–</w:t>
      </w:r>
      <w:r w:rsidRPr="00EA3993">
        <w:rPr>
          <w:rFonts w:asciiTheme="majorHAnsi" w:hAnsiTheme="majorHAnsi" w:cs="Arial"/>
          <w:b/>
          <w:bCs/>
          <w:i/>
          <w:color w:val="1C275F"/>
          <w:sz w:val="40"/>
          <w:szCs w:val="34"/>
          <w:lang w:val="en-GB"/>
        </w:rPr>
        <w:br/>
      </w:r>
      <w:r w:rsidRPr="00EA3993">
        <w:rPr>
          <w:rFonts w:asciiTheme="majorHAnsi" w:hAnsiTheme="majorHAnsi" w:cs="Arial"/>
          <w:b/>
          <w:bCs/>
          <w:i/>
          <w:color w:val="1C275F"/>
          <w:sz w:val="40"/>
          <w:szCs w:val="34"/>
          <w:lang w:val="en-GB"/>
        </w:rPr>
        <w:t>Too</w:t>
      </w:r>
      <w:r w:rsidRPr="00EA3993">
        <w:rPr>
          <w:rFonts w:asciiTheme="majorHAnsi" w:hAnsiTheme="majorHAnsi" w:cs="Arial"/>
          <w:b/>
          <w:bCs/>
          <w:i/>
          <w:color w:val="1C275F"/>
          <w:sz w:val="40"/>
          <w:szCs w:val="34"/>
          <w:lang w:val="en-GB"/>
        </w:rPr>
        <w:t>ls and Techniques</w:t>
      </w:r>
    </w:p>
    <w:p w:rsidR="00EA3993" w:rsidRPr="00EA3993" w:rsidRDefault="00EA3993" w:rsidP="00EA3993">
      <w:pPr>
        <w:widowControl w:val="0"/>
        <w:autoSpaceDE w:val="0"/>
        <w:autoSpaceDN w:val="0"/>
        <w:adjustRightInd w:val="0"/>
        <w:ind w:right="-290"/>
        <w:jc w:val="both"/>
        <w:rPr>
          <w:rFonts w:asciiTheme="majorHAnsi" w:hAnsiTheme="majorHAnsi" w:cs="Arial"/>
          <w:color w:val="262626"/>
          <w:lang w:val="en-GB"/>
        </w:rPr>
      </w:pPr>
      <w:r w:rsidRPr="00EA3993">
        <w:rPr>
          <w:rFonts w:asciiTheme="majorHAnsi" w:hAnsiTheme="majorHAnsi" w:cs="Arial"/>
          <w:color w:val="262626"/>
          <w:lang w:val="en-GB"/>
        </w:rPr>
        <w:t> </w:t>
      </w:r>
    </w:p>
    <w:p w:rsidR="00EA3993" w:rsidRPr="00EA3993" w:rsidRDefault="00EA3993" w:rsidP="00EA3993">
      <w:pPr>
        <w:widowControl w:val="0"/>
        <w:autoSpaceDE w:val="0"/>
        <w:autoSpaceDN w:val="0"/>
        <w:adjustRightInd w:val="0"/>
        <w:ind w:right="-290"/>
        <w:jc w:val="both"/>
        <w:rPr>
          <w:rFonts w:asciiTheme="majorHAnsi" w:hAnsiTheme="majorHAnsi" w:cs="Arial"/>
          <w:color w:val="262626"/>
          <w:lang w:val="en-GB"/>
        </w:rPr>
      </w:pPr>
      <w:r w:rsidRPr="00EA3993">
        <w:rPr>
          <w:rFonts w:asciiTheme="majorHAnsi" w:hAnsiTheme="majorHAnsi" w:cs="Arial"/>
          <w:color w:val="262626"/>
          <w:lang w:val="en-GB"/>
        </w:rPr>
        <w:t>On 5th November 2013, the conference "Energy renov</w:t>
      </w:r>
      <w:r>
        <w:rPr>
          <w:rFonts w:asciiTheme="majorHAnsi" w:hAnsiTheme="majorHAnsi" w:cs="Arial"/>
          <w:color w:val="262626"/>
          <w:lang w:val="en-GB"/>
        </w:rPr>
        <w:t xml:space="preserve">ation of traditional buildings – </w:t>
      </w:r>
      <w:r w:rsidRPr="00EA3993">
        <w:rPr>
          <w:rFonts w:asciiTheme="majorHAnsi" w:hAnsiTheme="majorHAnsi" w:cs="Arial"/>
          <w:color w:val="262626"/>
          <w:lang w:val="en-GB"/>
        </w:rPr>
        <w:t>Tools a</w:t>
      </w:r>
      <w:r>
        <w:rPr>
          <w:rFonts w:asciiTheme="majorHAnsi" w:hAnsiTheme="majorHAnsi" w:cs="Arial"/>
          <w:color w:val="262626"/>
          <w:lang w:val="en-GB"/>
        </w:rPr>
        <w:t xml:space="preserve">nd techniques" was held in the event room of the </w:t>
      </w:r>
      <w:proofErr w:type="spellStart"/>
      <w:r w:rsidRPr="00EA3993">
        <w:rPr>
          <w:rFonts w:asciiTheme="majorHAnsi" w:hAnsiTheme="majorHAnsi" w:cs="Arial"/>
          <w:i/>
          <w:color w:val="262626"/>
          <w:lang w:val="en-GB"/>
        </w:rPr>
        <w:t>Pollein</w:t>
      </w:r>
      <w:proofErr w:type="spellEnd"/>
      <w:r>
        <w:rPr>
          <w:rFonts w:asciiTheme="majorHAnsi" w:hAnsiTheme="majorHAnsi" w:cs="Arial"/>
          <w:color w:val="262626"/>
          <w:lang w:val="en-GB"/>
        </w:rPr>
        <w:t xml:space="preserve"> </w:t>
      </w:r>
      <w:r w:rsidRPr="00EA3993">
        <w:rPr>
          <w:rFonts w:asciiTheme="majorHAnsi" w:hAnsiTheme="majorHAnsi" w:cs="Arial"/>
          <w:i/>
          <w:color w:val="262626"/>
          <w:lang w:val="en-GB"/>
        </w:rPr>
        <w:t>Grand Place</w:t>
      </w:r>
      <w:r w:rsidRPr="00EA3993">
        <w:rPr>
          <w:rFonts w:asciiTheme="majorHAnsi" w:hAnsiTheme="majorHAnsi" w:cs="Arial"/>
          <w:color w:val="262626"/>
          <w:lang w:val="en-GB"/>
        </w:rPr>
        <w:t xml:space="preserve"> area. </w:t>
      </w:r>
      <w:r>
        <w:rPr>
          <w:rFonts w:asciiTheme="majorHAnsi" w:hAnsiTheme="majorHAnsi" w:cs="Arial"/>
          <w:color w:val="262626"/>
          <w:lang w:val="en-GB"/>
        </w:rPr>
        <w:t>It</w:t>
      </w:r>
      <w:r w:rsidRPr="00EA3993">
        <w:rPr>
          <w:rFonts w:asciiTheme="majorHAnsi" w:hAnsiTheme="majorHAnsi" w:cs="Arial"/>
          <w:color w:val="262626"/>
          <w:lang w:val="en-GB"/>
        </w:rPr>
        <w:t xml:space="preserve"> was organised by the regional Department of Productive Activities of the </w:t>
      </w:r>
      <w:proofErr w:type="spellStart"/>
      <w:r w:rsidRPr="00EA3993">
        <w:rPr>
          <w:rFonts w:asciiTheme="majorHAnsi" w:hAnsiTheme="majorHAnsi" w:cs="Arial"/>
          <w:color w:val="262626"/>
          <w:lang w:val="en-GB"/>
        </w:rPr>
        <w:t>Regione</w:t>
      </w:r>
      <w:proofErr w:type="spellEnd"/>
      <w:r w:rsidRPr="00EA3993">
        <w:rPr>
          <w:rFonts w:asciiTheme="majorHAnsi" w:hAnsiTheme="majorHAnsi" w:cs="Arial"/>
          <w:color w:val="262626"/>
          <w:lang w:val="en-GB"/>
        </w:rPr>
        <w:t xml:space="preserve"> </w:t>
      </w:r>
      <w:proofErr w:type="spellStart"/>
      <w:r w:rsidRPr="00EA3993">
        <w:rPr>
          <w:rFonts w:asciiTheme="majorHAnsi" w:hAnsiTheme="majorHAnsi" w:cs="Arial"/>
          <w:color w:val="262626"/>
          <w:lang w:val="en-GB"/>
        </w:rPr>
        <w:t>Autonoma</w:t>
      </w:r>
      <w:proofErr w:type="spellEnd"/>
      <w:r w:rsidRPr="00EA3993">
        <w:rPr>
          <w:rFonts w:asciiTheme="majorHAnsi" w:hAnsiTheme="majorHAnsi" w:cs="Arial"/>
          <w:color w:val="262626"/>
          <w:lang w:val="en-GB"/>
        </w:rPr>
        <w:t xml:space="preserve"> Valle d'Aosta and COA </w:t>
      </w:r>
      <w:proofErr w:type="spellStart"/>
      <w:r w:rsidRPr="00EA3993">
        <w:rPr>
          <w:rFonts w:asciiTheme="majorHAnsi" w:hAnsiTheme="majorHAnsi" w:cs="Arial"/>
          <w:color w:val="262626"/>
          <w:lang w:val="en-GB"/>
        </w:rPr>
        <w:t>energia</w:t>
      </w:r>
      <w:proofErr w:type="spellEnd"/>
      <w:r w:rsidRPr="00EA3993">
        <w:rPr>
          <w:rFonts w:asciiTheme="majorHAnsi" w:hAnsiTheme="majorHAnsi" w:cs="Arial"/>
          <w:color w:val="262626"/>
          <w:lang w:val="en-GB"/>
        </w:rPr>
        <w:t xml:space="preserve"> </w:t>
      </w:r>
      <w:proofErr w:type="spellStart"/>
      <w:r w:rsidRPr="00EA3993">
        <w:rPr>
          <w:rFonts w:asciiTheme="majorHAnsi" w:hAnsiTheme="majorHAnsi" w:cs="Arial"/>
          <w:color w:val="262626"/>
          <w:lang w:val="en-GB"/>
        </w:rPr>
        <w:t>Finaosta</w:t>
      </w:r>
      <w:proofErr w:type="spellEnd"/>
      <w:r w:rsidRPr="00EA3993">
        <w:rPr>
          <w:rFonts w:asciiTheme="majorHAnsi" w:hAnsiTheme="majorHAnsi" w:cs="Arial"/>
          <w:color w:val="262626"/>
          <w:lang w:val="en-GB"/>
        </w:rPr>
        <w:t xml:space="preserve"> with the patronage of the regional professional Orders and Colleges.</w:t>
      </w:r>
    </w:p>
    <w:p w:rsidR="00EA3993" w:rsidRPr="00EA3993" w:rsidRDefault="00EA3993" w:rsidP="00EA3993">
      <w:pPr>
        <w:widowControl w:val="0"/>
        <w:autoSpaceDE w:val="0"/>
        <w:autoSpaceDN w:val="0"/>
        <w:adjustRightInd w:val="0"/>
        <w:ind w:right="-290"/>
        <w:jc w:val="both"/>
        <w:rPr>
          <w:rFonts w:asciiTheme="majorHAnsi" w:hAnsiTheme="majorHAnsi" w:cs="Arial"/>
          <w:color w:val="262626"/>
          <w:lang w:val="en-GB"/>
        </w:rPr>
      </w:pPr>
      <w:r w:rsidRPr="00EA3993">
        <w:rPr>
          <w:rFonts w:asciiTheme="majorHAnsi" w:hAnsiTheme="majorHAnsi" w:cs="Arial"/>
          <w:color w:val="262626"/>
          <w:lang w:val="en-GB"/>
        </w:rPr>
        <w:t> </w:t>
      </w:r>
    </w:p>
    <w:p w:rsidR="00EA3993" w:rsidRPr="00EA3993" w:rsidRDefault="00EA3993" w:rsidP="00EA3993">
      <w:pPr>
        <w:widowControl w:val="0"/>
        <w:autoSpaceDE w:val="0"/>
        <w:autoSpaceDN w:val="0"/>
        <w:adjustRightInd w:val="0"/>
        <w:ind w:left="709" w:right="-290"/>
        <w:jc w:val="both"/>
        <w:rPr>
          <w:rFonts w:asciiTheme="majorHAnsi" w:hAnsiTheme="majorHAnsi" w:cs="Arial"/>
          <w:color w:val="262626"/>
          <w:lang w:val="en-GB"/>
        </w:rPr>
      </w:pPr>
      <w:r w:rsidRPr="00EA3993">
        <w:rPr>
          <w:rFonts w:asciiTheme="majorHAnsi" w:hAnsiTheme="majorHAnsi" w:cs="Arial"/>
          <w:noProof/>
          <w:color w:val="262626"/>
          <w:lang w:val="en-GB"/>
        </w:rPr>
        <w:drawing>
          <wp:inline distT="0" distB="0" distL="0" distR="0">
            <wp:extent cx="4997450" cy="3326765"/>
            <wp:effectExtent l="0" t="0" r="6350" b="635"/>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97450" cy="3326765"/>
                    </a:xfrm>
                    <a:prstGeom prst="rect">
                      <a:avLst/>
                    </a:prstGeom>
                    <a:noFill/>
                    <a:ln>
                      <a:noFill/>
                    </a:ln>
                    <a:extLst>
                      <a:ext uri="{FAA26D3D-D897-4be2-8F04-BA451C77F1D7}">
                        <ma14:placeholderFlag xmlns:ma14="http://schemas.microsoft.com/office/mac/drawingml/2011/main"/>
                      </a:ext>
                    </a:extLst>
                  </pic:spPr>
                </pic:pic>
              </a:graphicData>
            </a:graphic>
          </wp:inline>
        </w:drawing>
      </w:r>
      <w:bookmarkStart w:id="0" w:name="_GoBack"/>
      <w:bookmarkEnd w:id="0"/>
    </w:p>
    <w:p w:rsidR="00EA3993" w:rsidRPr="00EA3993" w:rsidRDefault="00EA3993" w:rsidP="00EA3993">
      <w:pPr>
        <w:widowControl w:val="0"/>
        <w:autoSpaceDE w:val="0"/>
        <w:autoSpaceDN w:val="0"/>
        <w:adjustRightInd w:val="0"/>
        <w:ind w:right="-290"/>
        <w:jc w:val="both"/>
        <w:rPr>
          <w:rFonts w:asciiTheme="majorHAnsi" w:hAnsiTheme="majorHAnsi" w:cs="Arial"/>
          <w:color w:val="262626"/>
          <w:lang w:val="en-GB"/>
        </w:rPr>
      </w:pPr>
      <w:r w:rsidRPr="00EA3993">
        <w:rPr>
          <w:rFonts w:asciiTheme="majorHAnsi" w:hAnsiTheme="majorHAnsi" w:cs="Arial"/>
          <w:color w:val="262626"/>
          <w:lang w:val="en-GB"/>
        </w:rPr>
        <w:t> </w:t>
      </w:r>
    </w:p>
    <w:p w:rsidR="00EA3993" w:rsidRPr="00EA3993" w:rsidRDefault="00EA3993" w:rsidP="00EA3993">
      <w:pPr>
        <w:widowControl w:val="0"/>
        <w:autoSpaceDE w:val="0"/>
        <w:autoSpaceDN w:val="0"/>
        <w:adjustRightInd w:val="0"/>
        <w:ind w:right="-290"/>
        <w:jc w:val="both"/>
        <w:rPr>
          <w:rFonts w:asciiTheme="majorHAnsi" w:hAnsiTheme="majorHAnsi" w:cs="Arial"/>
          <w:color w:val="262626"/>
          <w:lang w:val="en-GB"/>
        </w:rPr>
      </w:pPr>
      <w:r w:rsidRPr="00EA3993">
        <w:rPr>
          <w:rFonts w:asciiTheme="majorHAnsi" w:hAnsiTheme="majorHAnsi" w:cs="Arial"/>
          <w:color w:val="262626"/>
          <w:lang w:val="en-GB"/>
        </w:rPr>
        <w:t>The conference presented the publication "</w:t>
      </w:r>
      <w:proofErr w:type="spellStart"/>
      <w:r w:rsidRPr="00EA3993">
        <w:rPr>
          <w:rFonts w:asciiTheme="majorHAnsi" w:hAnsiTheme="majorHAnsi" w:cs="Arial"/>
          <w:color w:val="262626"/>
          <w:lang w:val="en-GB"/>
        </w:rPr>
        <w:t>Quaderno</w:t>
      </w:r>
      <w:proofErr w:type="spellEnd"/>
      <w:r w:rsidRPr="00EA3993">
        <w:rPr>
          <w:rFonts w:asciiTheme="majorHAnsi" w:hAnsiTheme="majorHAnsi" w:cs="Arial"/>
          <w:color w:val="262626"/>
          <w:lang w:val="en-GB"/>
        </w:rPr>
        <w:t xml:space="preserve"> per </w:t>
      </w:r>
      <w:proofErr w:type="spellStart"/>
      <w:r w:rsidRPr="00EA3993">
        <w:rPr>
          <w:rFonts w:asciiTheme="majorHAnsi" w:hAnsiTheme="majorHAnsi" w:cs="Arial"/>
          <w:color w:val="262626"/>
          <w:lang w:val="en-GB"/>
        </w:rPr>
        <w:t>il</w:t>
      </w:r>
      <w:proofErr w:type="spellEnd"/>
      <w:r w:rsidRPr="00EA3993">
        <w:rPr>
          <w:rFonts w:asciiTheme="majorHAnsi" w:hAnsiTheme="majorHAnsi" w:cs="Arial"/>
          <w:color w:val="262626"/>
          <w:lang w:val="en-GB"/>
        </w:rPr>
        <w:t xml:space="preserve"> </w:t>
      </w:r>
      <w:proofErr w:type="spellStart"/>
      <w:r w:rsidRPr="00EA3993">
        <w:rPr>
          <w:rFonts w:asciiTheme="majorHAnsi" w:hAnsiTheme="majorHAnsi" w:cs="Arial"/>
          <w:color w:val="262626"/>
          <w:lang w:val="en-GB"/>
        </w:rPr>
        <w:t>recupero</w:t>
      </w:r>
      <w:proofErr w:type="spellEnd"/>
      <w:r w:rsidRPr="00EA3993">
        <w:rPr>
          <w:rFonts w:asciiTheme="majorHAnsi" w:hAnsiTheme="majorHAnsi" w:cs="Arial"/>
          <w:color w:val="262626"/>
          <w:lang w:val="en-GB"/>
        </w:rPr>
        <w:t xml:space="preserve"> </w:t>
      </w:r>
      <w:proofErr w:type="spellStart"/>
      <w:r w:rsidRPr="00EA3993">
        <w:rPr>
          <w:rFonts w:asciiTheme="majorHAnsi" w:hAnsiTheme="majorHAnsi" w:cs="Arial"/>
          <w:color w:val="262626"/>
          <w:lang w:val="en-GB"/>
        </w:rPr>
        <w:t>energetico</w:t>
      </w:r>
      <w:proofErr w:type="spellEnd"/>
      <w:r w:rsidRPr="00EA3993">
        <w:rPr>
          <w:rFonts w:asciiTheme="majorHAnsi" w:hAnsiTheme="majorHAnsi" w:cs="Arial"/>
          <w:color w:val="262626"/>
          <w:lang w:val="en-GB"/>
        </w:rPr>
        <w:t xml:space="preserve"> </w:t>
      </w:r>
      <w:r>
        <w:rPr>
          <w:rFonts w:asciiTheme="majorHAnsi" w:hAnsiTheme="majorHAnsi" w:cs="Arial"/>
          <w:color w:val="262626"/>
          <w:lang w:val="en-GB"/>
        </w:rPr>
        <w:t xml:space="preserve">– </w:t>
      </w:r>
      <w:proofErr w:type="spellStart"/>
      <w:r>
        <w:rPr>
          <w:rFonts w:asciiTheme="majorHAnsi" w:hAnsiTheme="majorHAnsi" w:cs="Arial"/>
          <w:color w:val="262626"/>
          <w:lang w:val="en-GB"/>
        </w:rPr>
        <w:t>R</w:t>
      </w:r>
      <w:r w:rsidRPr="00EA3993">
        <w:rPr>
          <w:rFonts w:asciiTheme="majorHAnsi" w:hAnsiTheme="majorHAnsi" w:cs="Arial"/>
          <w:color w:val="262626"/>
          <w:lang w:val="en-GB"/>
        </w:rPr>
        <w:t>accolta</w:t>
      </w:r>
      <w:proofErr w:type="spellEnd"/>
      <w:r w:rsidRPr="00EA3993">
        <w:rPr>
          <w:rFonts w:asciiTheme="majorHAnsi" w:hAnsiTheme="majorHAnsi" w:cs="Arial"/>
          <w:color w:val="262626"/>
          <w:lang w:val="en-GB"/>
        </w:rPr>
        <w:t xml:space="preserve"> di </w:t>
      </w:r>
      <w:proofErr w:type="spellStart"/>
      <w:r w:rsidRPr="00EA3993">
        <w:rPr>
          <w:rFonts w:asciiTheme="majorHAnsi" w:hAnsiTheme="majorHAnsi" w:cs="Arial"/>
          <w:color w:val="262626"/>
          <w:lang w:val="en-GB"/>
        </w:rPr>
        <w:t>casi</w:t>
      </w:r>
      <w:proofErr w:type="spellEnd"/>
      <w:r w:rsidRPr="00EA3993">
        <w:rPr>
          <w:rFonts w:asciiTheme="majorHAnsi" w:hAnsiTheme="majorHAnsi" w:cs="Arial"/>
          <w:color w:val="262626"/>
          <w:lang w:val="en-GB"/>
        </w:rPr>
        <w:t xml:space="preserve"> studio per </w:t>
      </w:r>
      <w:proofErr w:type="spellStart"/>
      <w:r w:rsidRPr="00EA3993">
        <w:rPr>
          <w:rFonts w:asciiTheme="majorHAnsi" w:hAnsiTheme="majorHAnsi" w:cs="Arial"/>
          <w:color w:val="262626"/>
          <w:lang w:val="en-GB"/>
        </w:rPr>
        <w:t>interventi</w:t>
      </w:r>
      <w:proofErr w:type="spellEnd"/>
      <w:r w:rsidRPr="00EA3993">
        <w:rPr>
          <w:rFonts w:asciiTheme="majorHAnsi" w:hAnsiTheme="majorHAnsi" w:cs="Arial"/>
          <w:color w:val="262626"/>
          <w:lang w:val="en-GB"/>
        </w:rPr>
        <w:t xml:space="preserve"> </w:t>
      </w:r>
      <w:proofErr w:type="spellStart"/>
      <w:r w:rsidRPr="00EA3993">
        <w:rPr>
          <w:rFonts w:asciiTheme="majorHAnsi" w:hAnsiTheme="majorHAnsi" w:cs="Arial"/>
          <w:color w:val="262626"/>
          <w:lang w:val="en-GB"/>
        </w:rPr>
        <w:t>sul</w:t>
      </w:r>
      <w:proofErr w:type="spellEnd"/>
      <w:r w:rsidRPr="00EA3993">
        <w:rPr>
          <w:rFonts w:asciiTheme="majorHAnsi" w:hAnsiTheme="majorHAnsi" w:cs="Arial"/>
          <w:color w:val="262626"/>
          <w:lang w:val="en-GB"/>
        </w:rPr>
        <w:t xml:space="preserve"> </w:t>
      </w:r>
      <w:proofErr w:type="spellStart"/>
      <w:r w:rsidRPr="00EA3993">
        <w:rPr>
          <w:rFonts w:asciiTheme="majorHAnsi" w:hAnsiTheme="majorHAnsi" w:cs="Arial"/>
          <w:color w:val="262626"/>
          <w:lang w:val="en-GB"/>
        </w:rPr>
        <w:t>patr</w:t>
      </w:r>
      <w:r>
        <w:rPr>
          <w:rFonts w:asciiTheme="majorHAnsi" w:hAnsiTheme="majorHAnsi" w:cs="Arial"/>
          <w:color w:val="262626"/>
          <w:lang w:val="en-GB"/>
        </w:rPr>
        <w:t>imonio</w:t>
      </w:r>
      <w:proofErr w:type="spellEnd"/>
      <w:r>
        <w:rPr>
          <w:rFonts w:asciiTheme="majorHAnsi" w:hAnsiTheme="majorHAnsi" w:cs="Arial"/>
          <w:color w:val="262626"/>
          <w:lang w:val="en-GB"/>
        </w:rPr>
        <w:t xml:space="preserve"> </w:t>
      </w:r>
      <w:proofErr w:type="spellStart"/>
      <w:r>
        <w:rPr>
          <w:rFonts w:asciiTheme="majorHAnsi" w:hAnsiTheme="majorHAnsi" w:cs="Arial"/>
          <w:color w:val="262626"/>
          <w:lang w:val="en-GB"/>
        </w:rPr>
        <w:t>edilizio</w:t>
      </w:r>
      <w:proofErr w:type="spellEnd"/>
      <w:r>
        <w:rPr>
          <w:rFonts w:asciiTheme="majorHAnsi" w:hAnsiTheme="majorHAnsi" w:cs="Arial"/>
          <w:color w:val="262626"/>
          <w:lang w:val="en-GB"/>
        </w:rPr>
        <w:t xml:space="preserve"> </w:t>
      </w:r>
      <w:proofErr w:type="spellStart"/>
      <w:r>
        <w:rPr>
          <w:rFonts w:asciiTheme="majorHAnsi" w:hAnsiTheme="majorHAnsi" w:cs="Arial"/>
          <w:color w:val="262626"/>
          <w:lang w:val="en-GB"/>
        </w:rPr>
        <w:t>tradizionale</w:t>
      </w:r>
      <w:proofErr w:type="spellEnd"/>
      <w:r>
        <w:rPr>
          <w:rFonts w:asciiTheme="majorHAnsi" w:hAnsiTheme="majorHAnsi" w:cs="Arial"/>
          <w:color w:val="262626"/>
          <w:lang w:val="en-GB"/>
        </w:rPr>
        <w:t xml:space="preserve">", a handbook for energy recovery </w:t>
      </w:r>
      <w:r w:rsidRPr="00EA3993">
        <w:rPr>
          <w:rFonts w:asciiTheme="majorHAnsi" w:hAnsiTheme="majorHAnsi" w:cs="Arial"/>
          <w:color w:val="262626"/>
          <w:lang w:val="en-GB"/>
        </w:rPr>
        <w:t xml:space="preserve">published within the European project </w:t>
      </w:r>
      <w:r w:rsidRPr="00EA3993">
        <w:rPr>
          <w:rFonts w:asciiTheme="majorHAnsi" w:hAnsiTheme="majorHAnsi" w:cs="Arial"/>
          <w:i/>
          <w:color w:val="262626"/>
          <w:lang w:val="en-GB"/>
        </w:rPr>
        <w:t>AlpHouse</w:t>
      </w:r>
      <w:r w:rsidRPr="00EA3993">
        <w:rPr>
          <w:rFonts w:asciiTheme="majorHAnsi" w:hAnsiTheme="majorHAnsi" w:cs="Arial"/>
          <w:color w:val="262626"/>
          <w:lang w:val="en-GB"/>
        </w:rPr>
        <w:t xml:space="preserve"> and coordinated by COA </w:t>
      </w:r>
      <w:proofErr w:type="spellStart"/>
      <w:r w:rsidRPr="00EA3993">
        <w:rPr>
          <w:rFonts w:asciiTheme="majorHAnsi" w:hAnsiTheme="majorHAnsi" w:cs="Arial"/>
          <w:color w:val="262626"/>
          <w:lang w:val="en-GB"/>
        </w:rPr>
        <w:t>energia</w:t>
      </w:r>
      <w:proofErr w:type="spellEnd"/>
      <w:r w:rsidRPr="00EA3993">
        <w:rPr>
          <w:rFonts w:asciiTheme="majorHAnsi" w:hAnsiTheme="majorHAnsi" w:cs="Arial"/>
          <w:color w:val="262626"/>
          <w:lang w:val="en-GB"/>
        </w:rPr>
        <w:t xml:space="preserve"> and the Department in collaboration with the Fraunhofer Institute. The handbook</w:t>
      </w:r>
      <w:r>
        <w:rPr>
          <w:rFonts w:asciiTheme="majorHAnsi" w:hAnsiTheme="majorHAnsi" w:cs="Arial"/>
          <w:color w:val="262626"/>
          <w:lang w:val="en-GB"/>
        </w:rPr>
        <w:t xml:space="preserve"> suggests a new</w:t>
      </w:r>
      <w:r w:rsidRPr="00EA3993">
        <w:rPr>
          <w:rFonts w:asciiTheme="majorHAnsi" w:hAnsiTheme="majorHAnsi" w:cs="Arial"/>
          <w:color w:val="262626"/>
          <w:lang w:val="en-GB"/>
        </w:rPr>
        <w:t xml:space="preserve"> approach methodology for energy recover</w:t>
      </w:r>
      <w:r>
        <w:rPr>
          <w:rFonts w:asciiTheme="majorHAnsi" w:hAnsiTheme="majorHAnsi" w:cs="Arial"/>
          <w:color w:val="262626"/>
          <w:lang w:val="en-GB"/>
        </w:rPr>
        <w:t>y of traditional architecture, t</w:t>
      </w:r>
      <w:r w:rsidRPr="00EA3993">
        <w:rPr>
          <w:rFonts w:asciiTheme="majorHAnsi" w:hAnsiTheme="majorHAnsi" w:cs="Arial"/>
          <w:color w:val="262626"/>
          <w:lang w:val="en-GB"/>
        </w:rPr>
        <w:t>he aim of which is to combine the themes of energy saving and quality of living with the preservation of the historical heritage, whilst supporting the design process and implementation of interventions.</w:t>
      </w:r>
    </w:p>
    <w:p w:rsidR="00EA3993" w:rsidRPr="00EA3993" w:rsidRDefault="00EA3993" w:rsidP="00EA3993">
      <w:pPr>
        <w:widowControl w:val="0"/>
        <w:autoSpaceDE w:val="0"/>
        <w:autoSpaceDN w:val="0"/>
        <w:adjustRightInd w:val="0"/>
        <w:ind w:right="-290"/>
        <w:jc w:val="both"/>
        <w:rPr>
          <w:rFonts w:asciiTheme="majorHAnsi" w:hAnsiTheme="majorHAnsi" w:cs="Arial"/>
          <w:color w:val="262626"/>
          <w:lang w:val="en-GB"/>
        </w:rPr>
      </w:pPr>
      <w:r w:rsidRPr="00EA3993">
        <w:rPr>
          <w:rFonts w:asciiTheme="majorHAnsi" w:hAnsiTheme="majorHAnsi" w:cs="Arial"/>
          <w:color w:val="262626"/>
          <w:lang w:val="en-GB"/>
        </w:rPr>
        <w:t> </w:t>
      </w:r>
    </w:p>
    <w:p w:rsidR="00EA3993" w:rsidRDefault="00EA3993" w:rsidP="00EA3993">
      <w:pPr>
        <w:widowControl w:val="0"/>
        <w:autoSpaceDE w:val="0"/>
        <w:autoSpaceDN w:val="0"/>
        <w:adjustRightInd w:val="0"/>
        <w:ind w:right="-290"/>
        <w:jc w:val="both"/>
        <w:rPr>
          <w:rFonts w:asciiTheme="majorHAnsi" w:hAnsiTheme="majorHAnsi" w:cs="Arial"/>
          <w:color w:val="262626"/>
          <w:lang w:val="en-GB"/>
        </w:rPr>
      </w:pPr>
      <w:r w:rsidRPr="00EA3993">
        <w:rPr>
          <w:rFonts w:asciiTheme="majorHAnsi" w:hAnsiTheme="majorHAnsi" w:cs="Arial"/>
          <w:color w:val="262626"/>
          <w:lang w:val="en-GB"/>
        </w:rPr>
        <w:t>An important section of the publication is dedicated to a collection of technical analysis that contains good practices of intervention on traditional building construction elements and nodes. For each part of the construction, the thermal and hygrometric parameters have been evaluated before and after the energy renovation interventions proposing solutions that respect the matters related to the protection of the buildings and regulations.</w:t>
      </w:r>
    </w:p>
    <w:p w:rsidR="00EA3993" w:rsidRPr="00EA3993" w:rsidRDefault="00EA3993" w:rsidP="00EA3993">
      <w:pPr>
        <w:widowControl w:val="0"/>
        <w:autoSpaceDE w:val="0"/>
        <w:autoSpaceDN w:val="0"/>
        <w:adjustRightInd w:val="0"/>
        <w:ind w:right="-290"/>
        <w:jc w:val="both"/>
        <w:rPr>
          <w:rFonts w:asciiTheme="majorHAnsi" w:hAnsiTheme="majorHAnsi" w:cs="Arial"/>
          <w:color w:val="262626"/>
          <w:lang w:val="en-GB"/>
        </w:rPr>
      </w:pPr>
    </w:p>
    <w:p w:rsidR="00EA3993" w:rsidRPr="00EA3993" w:rsidRDefault="00EA3993" w:rsidP="00EA3993">
      <w:pPr>
        <w:widowControl w:val="0"/>
        <w:autoSpaceDE w:val="0"/>
        <w:autoSpaceDN w:val="0"/>
        <w:adjustRightInd w:val="0"/>
        <w:ind w:right="-290"/>
        <w:jc w:val="both"/>
        <w:rPr>
          <w:rFonts w:asciiTheme="majorHAnsi" w:hAnsiTheme="majorHAnsi" w:cs="Arial"/>
          <w:color w:val="262626"/>
          <w:lang w:val="en-GB"/>
        </w:rPr>
      </w:pPr>
      <w:r w:rsidRPr="00EA3993">
        <w:rPr>
          <w:rFonts w:asciiTheme="majorHAnsi" w:hAnsiTheme="majorHAnsi" w:cs="Arial"/>
          <w:color w:val="262626"/>
          <w:lang w:val="en-GB"/>
        </w:rPr>
        <w:t xml:space="preserve">In this way, the professionals can have a useful tool to better understand the problems related to the complexity of these actions, to be guided in the choice of materials and in the techniques of intervention. The publication has been designed as a tool that can be implemented with new </w:t>
      </w:r>
      <w:proofErr w:type="gramStart"/>
      <w:r w:rsidRPr="00EA3993">
        <w:rPr>
          <w:rFonts w:asciiTheme="majorHAnsi" w:hAnsiTheme="majorHAnsi" w:cs="Arial"/>
          <w:color w:val="262626"/>
          <w:lang w:val="en-GB"/>
        </w:rPr>
        <w:t>case-studies</w:t>
      </w:r>
      <w:proofErr w:type="gramEnd"/>
      <w:r w:rsidRPr="00EA3993">
        <w:rPr>
          <w:rFonts w:asciiTheme="majorHAnsi" w:hAnsiTheme="majorHAnsi" w:cs="Arial"/>
          <w:color w:val="262626"/>
          <w:lang w:val="en-GB"/>
        </w:rPr>
        <w:t xml:space="preserve"> from other research projects, but also from practice and professional experience.</w:t>
      </w:r>
    </w:p>
    <w:p w:rsidR="00EA3993" w:rsidRPr="00EA3993" w:rsidRDefault="00EA3993" w:rsidP="00EA3993">
      <w:pPr>
        <w:widowControl w:val="0"/>
        <w:autoSpaceDE w:val="0"/>
        <w:autoSpaceDN w:val="0"/>
        <w:adjustRightInd w:val="0"/>
        <w:ind w:right="-290"/>
        <w:jc w:val="both"/>
        <w:rPr>
          <w:rFonts w:asciiTheme="majorHAnsi" w:hAnsiTheme="majorHAnsi" w:cs="Arial"/>
          <w:color w:val="262626"/>
          <w:lang w:val="en-GB"/>
        </w:rPr>
      </w:pPr>
      <w:r w:rsidRPr="00EA3993">
        <w:rPr>
          <w:rFonts w:asciiTheme="majorHAnsi" w:hAnsiTheme="majorHAnsi" w:cs="Arial"/>
          <w:color w:val="262626"/>
          <w:lang w:val="en-GB"/>
        </w:rPr>
        <w:lastRenderedPageBreak/>
        <w:t> </w:t>
      </w:r>
    </w:p>
    <w:p w:rsidR="00EA3993" w:rsidRDefault="00EA3993" w:rsidP="00EA3993">
      <w:pPr>
        <w:widowControl w:val="0"/>
        <w:autoSpaceDE w:val="0"/>
        <w:autoSpaceDN w:val="0"/>
        <w:adjustRightInd w:val="0"/>
        <w:ind w:right="-290"/>
        <w:jc w:val="both"/>
        <w:rPr>
          <w:rFonts w:asciiTheme="majorHAnsi" w:hAnsiTheme="majorHAnsi" w:cs="Arial"/>
          <w:color w:val="262626"/>
          <w:lang w:val="en-GB"/>
        </w:rPr>
      </w:pPr>
      <w:r w:rsidRPr="00EA3993">
        <w:rPr>
          <w:rFonts w:asciiTheme="majorHAnsi" w:hAnsiTheme="majorHAnsi" w:cs="Arial"/>
          <w:color w:val="262626"/>
          <w:lang w:val="en-GB"/>
        </w:rPr>
        <w:t xml:space="preserve">More than 800 professionals have been involved in the various events organized within the European project AlpHouse, and once again the </w:t>
      </w:r>
      <w:proofErr w:type="gramStart"/>
      <w:r w:rsidRPr="00EA3993">
        <w:rPr>
          <w:rFonts w:asciiTheme="majorHAnsi" w:hAnsiTheme="majorHAnsi" w:cs="Arial"/>
          <w:color w:val="262626"/>
          <w:lang w:val="en-GB"/>
        </w:rPr>
        <w:t>interest in these main themes has been confirmed on this occasion by the more than 200 participants attending the conference</w:t>
      </w:r>
      <w:proofErr w:type="gramEnd"/>
      <w:r w:rsidRPr="00EA3993">
        <w:rPr>
          <w:rFonts w:asciiTheme="majorHAnsi" w:hAnsiTheme="majorHAnsi" w:cs="Arial"/>
          <w:color w:val="262626"/>
          <w:lang w:val="en-GB"/>
        </w:rPr>
        <w:t>.</w:t>
      </w:r>
    </w:p>
    <w:p w:rsidR="00EA3993" w:rsidRPr="00EA3993" w:rsidRDefault="00EA3993" w:rsidP="00EA3993">
      <w:pPr>
        <w:widowControl w:val="0"/>
        <w:autoSpaceDE w:val="0"/>
        <w:autoSpaceDN w:val="0"/>
        <w:adjustRightInd w:val="0"/>
        <w:ind w:right="-290"/>
        <w:jc w:val="both"/>
        <w:rPr>
          <w:rFonts w:asciiTheme="majorHAnsi" w:hAnsiTheme="majorHAnsi" w:cs="Arial"/>
          <w:color w:val="262626"/>
          <w:lang w:val="en-GB"/>
        </w:rPr>
      </w:pPr>
    </w:p>
    <w:p w:rsidR="00F876CC" w:rsidRPr="00EA3993" w:rsidRDefault="00EA3993" w:rsidP="00EA3993">
      <w:pPr>
        <w:ind w:right="-290"/>
        <w:jc w:val="both"/>
        <w:rPr>
          <w:rFonts w:asciiTheme="majorHAnsi" w:hAnsiTheme="majorHAnsi"/>
          <w:lang w:val="en-GB"/>
        </w:rPr>
      </w:pPr>
      <w:r w:rsidRPr="00EA3993">
        <w:rPr>
          <w:rFonts w:asciiTheme="majorHAnsi" w:hAnsiTheme="majorHAnsi"/>
          <w:lang w:val="en-GB"/>
        </w:rPr>
        <w:t>The support activities for designers and all the players involved in the building process will continue in the European project AlpBC (Alpine Building Culture) which, in continuity with AlpHouse, will further explore the issues related to the sustainable development of the construction sector in the Alps, with a particular focus on the integration of energy issues in spatial planning.</w:t>
      </w:r>
    </w:p>
    <w:sectPr w:rsidR="00F876CC" w:rsidRPr="00EA3993" w:rsidSect="0076244F">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993"/>
    <w:rsid w:val="0076244F"/>
    <w:rsid w:val="00EA3993"/>
    <w:rsid w:val="00F876C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7CA20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EA3993"/>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EA399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EA3993"/>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EA399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2234</Characters>
  <Application>Microsoft Macintosh Word</Application>
  <DocSecurity>0</DocSecurity>
  <Lines>18</Lines>
  <Paragraphs>5</Paragraphs>
  <ScaleCrop>false</ScaleCrop>
  <Company/>
  <LinksUpToDate>false</LinksUpToDate>
  <CharactersWithSpaces>2583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Karlheinz Valtl</dc:creator>
  <cp:keywords/>
  <dc:description/>
  <cp:lastModifiedBy>Karlheinz Valtl</cp:lastModifiedBy>
  <cp:revision>1</cp:revision>
  <dcterms:created xsi:type="dcterms:W3CDTF">2013-12-04T11:14:00Z</dcterms:created>
  <dcterms:modified xsi:type="dcterms:W3CDTF">2013-12-04T11:22:00Z</dcterms:modified>
</cp:coreProperties>
</file>